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25" w:rsidRPr="00F6026B" w:rsidRDefault="00206325" w:rsidP="00206325">
      <w:pPr>
        <w:adjustRightInd w:val="0"/>
        <w:snapToGrid w:val="0"/>
        <w:spacing w:line="560" w:lineRule="exact"/>
        <w:ind w:firstLineChars="250" w:firstLine="1000"/>
        <w:rPr>
          <w:rFonts w:ascii="方正小标宋_GBK" w:eastAsia="方正小标宋_GBK"/>
          <w:color w:val="000000"/>
          <w:spacing w:val="-20"/>
          <w:kern w:val="0"/>
          <w:sz w:val="44"/>
          <w:szCs w:val="44"/>
          <w:lang w:val="zh-CN"/>
        </w:rPr>
      </w:pPr>
      <w:r w:rsidRPr="00F6026B">
        <w:rPr>
          <w:rFonts w:ascii="方正小标宋_GBK" w:eastAsia="方正小标宋_GBK" w:hint="eastAsia"/>
          <w:color w:val="000000"/>
          <w:spacing w:val="-20"/>
          <w:kern w:val="0"/>
          <w:sz w:val="44"/>
          <w:szCs w:val="44"/>
          <w:lang w:val="zh-CN"/>
        </w:rPr>
        <w:t>2021年江苏省司法厅法治科研项目指南</w:t>
      </w:r>
    </w:p>
    <w:p w:rsidR="00206325" w:rsidRPr="00F6026B" w:rsidRDefault="00206325" w:rsidP="00206325">
      <w:pPr>
        <w:adjustRightInd w:val="0"/>
        <w:snapToGrid w:val="0"/>
        <w:spacing w:line="560" w:lineRule="exact"/>
        <w:ind w:firstLineChars="250" w:firstLine="800"/>
        <w:rPr>
          <w:rFonts w:ascii="仿宋" w:eastAsia="仿宋" w:hAnsi="仿宋" w:cs="宋体"/>
          <w:color w:val="000000"/>
          <w:kern w:val="0"/>
          <w:sz w:val="32"/>
          <w:szCs w:val="32"/>
        </w:rPr>
      </w:pPr>
    </w:p>
    <w:p w:rsidR="00206325" w:rsidRPr="00F6026B" w:rsidRDefault="00206325" w:rsidP="00206325">
      <w:pPr>
        <w:adjustRightInd w:val="0"/>
        <w:snapToGrid w:val="0"/>
        <w:spacing w:line="560" w:lineRule="exact"/>
        <w:ind w:firstLineChars="200" w:firstLine="640"/>
        <w:rPr>
          <w:rFonts w:ascii="黑体" w:eastAsia="黑体" w:hAnsi="黑体" w:cs="宋体"/>
          <w:color w:val="000000"/>
          <w:kern w:val="0"/>
          <w:sz w:val="32"/>
          <w:szCs w:val="32"/>
        </w:rPr>
      </w:pPr>
      <w:r w:rsidRPr="00F6026B">
        <w:rPr>
          <w:rFonts w:ascii="黑体" w:eastAsia="黑体" w:hAnsi="黑体" w:cs="宋体" w:hint="eastAsia"/>
          <w:color w:val="000000"/>
          <w:kern w:val="0"/>
          <w:sz w:val="32"/>
          <w:szCs w:val="32"/>
        </w:rPr>
        <w:t>一、重点项目</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cs="宋体" w:hint="eastAsia"/>
          <w:color w:val="000000"/>
          <w:kern w:val="0"/>
          <w:sz w:val="32"/>
          <w:szCs w:val="32"/>
        </w:rPr>
        <w:t>1.</w:t>
      </w:r>
      <w:r w:rsidRPr="00F6026B">
        <w:rPr>
          <w:rFonts w:ascii="仿宋" w:eastAsia="仿宋" w:hAnsi="仿宋" w:hint="eastAsia"/>
          <w:color w:val="000000"/>
          <w:sz w:val="32"/>
          <w:szCs w:val="32"/>
        </w:rPr>
        <w:t>行政程序立法研究（编号：2021jssf001）</w:t>
      </w:r>
    </w:p>
    <w:p w:rsidR="00206325" w:rsidRPr="00F6026B" w:rsidRDefault="00206325" w:rsidP="00206325">
      <w:pPr>
        <w:adjustRightInd w:val="0"/>
        <w:snapToGrid w:val="0"/>
        <w:spacing w:line="560" w:lineRule="exact"/>
        <w:ind w:firstLineChars="200" w:firstLine="640"/>
        <w:rPr>
          <w:rFonts w:ascii="仿宋" w:eastAsia="仿宋" w:hAnsi="仿宋" w:cs="宋体"/>
          <w:color w:val="000000"/>
          <w:kern w:val="0"/>
          <w:sz w:val="32"/>
          <w:szCs w:val="32"/>
        </w:rPr>
      </w:pPr>
      <w:r w:rsidRPr="00F6026B">
        <w:rPr>
          <w:rFonts w:ascii="楷体" w:eastAsia="楷体" w:hAnsi="楷体" w:hint="eastAsia"/>
          <w:color w:val="000000"/>
          <w:sz w:val="32"/>
          <w:szCs w:val="32"/>
        </w:rPr>
        <w:t>课题的必要性：</w:t>
      </w:r>
      <w:r w:rsidRPr="00F6026B">
        <w:rPr>
          <w:rFonts w:ascii="仿宋" w:eastAsia="仿宋" w:hAnsi="仿宋" w:cs="宋体" w:hint="eastAsia"/>
          <w:color w:val="000000"/>
          <w:kern w:val="0"/>
          <w:sz w:val="32"/>
          <w:szCs w:val="32"/>
        </w:rPr>
        <w:t>行政程序立法是行政法治现代化的必然趋势。从世界范围来看，法典模式是行政程序立法的高级形式。在我国，行政程序法典化更能反映我国行政法治现代化的要求：首先，行政法治现代化必然要求法制的统一。其次，行政法治现代化是一个系统的现代化进程，行政程序法典化可以避免分别制定单行法带来的残缺、漏洞。统一的行政程序法典可以以其系统、完整的程序制度，丰富、独立的程序理念使公民受到较全面、深入的现代行政法治教育，这是个别的单行法所难以比拟的。</w:t>
      </w:r>
    </w:p>
    <w:p w:rsidR="00206325" w:rsidRPr="00F6026B" w:rsidRDefault="00206325" w:rsidP="00206325">
      <w:pPr>
        <w:adjustRightInd w:val="0"/>
        <w:snapToGrid w:val="0"/>
        <w:spacing w:line="560" w:lineRule="exact"/>
        <w:ind w:firstLineChars="200" w:firstLine="640"/>
        <w:rPr>
          <w:rFonts w:ascii="仿宋" w:eastAsia="仿宋" w:hAnsi="仿宋" w:cs="宋体"/>
          <w:color w:val="000000"/>
          <w:kern w:val="0"/>
          <w:sz w:val="32"/>
          <w:szCs w:val="32"/>
        </w:rPr>
      </w:pPr>
      <w:r w:rsidRPr="00F6026B">
        <w:rPr>
          <w:rFonts w:ascii="楷体" w:eastAsia="楷体" w:hAnsi="楷体" w:hint="eastAsia"/>
          <w:color w:val="000000"/>
          <w:sz w:val="32"/>
          <w:szCs w:val="32"/>
        </w:rPr>
        <w:t>研究范围及要求：</w:t>
      </w:r>
      <w:r w:rsidRPr="00F6026B">
        <w:rPr>
          <w:rFonts w:ascii="仿宋" w:eastAsia="仿宋" w:hAnsi="仿宋" w:cs="宋体" w:hint="eastAsia"/>
          <w:color w:val="000000"/>
          <w:kern w:val="0"/>
          <w:sz w:val="32"/>
          <w:szCs w:val="32"/>
        </w:rPr>
        <w:t>阐释中国行政程序立法的重大意义；探讨推进行政法法典化的不同路径，如制定行政程序法、制定行政法通则（行政基本法）、制定完整的行政法典以及制定行政法总则等不同主张；并在此基础上，分析不同路径的利弊和优化路径选择。</w:t>
      </w:r>
    </w:p>
    <w:p w:rsidR="00206325" w:rsidRPr="00F6026B" w:rsidRDefault="00206325" w:rsidP="00206325">
      <w:pPr>
        <w:adjustRightInd w:val="0"/>
        <w:snapToGrid w:val="0"/>
        <w:spacing w:line="560" w:lineRule="exact"/>
        <w:ind w:firstLineChars="200" w:firstLine="640"/>
        <w:rPr>
          <w:rFonts w:ascii="仿宋" w:eastAsia="仿宋" w:hAnsi="仿宋" w:cs="宋体"/>
          <w:color w:val="000000"/>
          <w:kern w:val="0"/>
          <w:sz w:val="32"/>
          <w:szCs w:val="32"/>
        </w:rPr>
      </w:pPr>
      <w:r w:rsidRPr="00F6026B">
        <w:rPr>
          <w:rFonts w:ascii="仿宋" w:eastAsia="仿宋" w:hAnsi="仿宋" w:hint="eastAsia"/>
          <w:color w:val="000000"/>
          <w:sz w:val="32"/>
          <w:szCs w:val="32"/>
        </w:rPr>
        <w:t>2.</w:t>
      </w:r>
      <w:r w:rsidRPr="00F6026B">
        <w:rPr>
          <w:rFonts w:ascii="仿宋" w:eastAsia="仿宋" w:hAnsi="仿宋" w:cs="宋体" w:hint="eastAsia"/>
          <w:color w:val="000000"/>
          <w:kern w:val="0"/>
          <w:sz w:val="32"/>
          <w:szCs w:val="32"/>
        </w:rPr>
        <w:t>环保执法自由裁量权问题研究（编号：2021jssf002）</w:t>
      </w:r>
    </w:p>
    <w:p w:rsidR="00206325" w:rsidRPr="00F6026B" w:rsidRDefault="00206325" w:rsidP="00206325">
      <w:pPr>
        <w:pStyle w:val="a4"/>
        <w:shd w:val="clear" w:color="auto" w:fill="FFFFFF"/>
        <w:adjustRightInd w:val="0"/>
        <w:snapToGrid w:val="0"/>
        <w:spacing w:before="0" w:beforeAutospacing="0" w:after="0" w:afterAutospacing="0" w:line="560" w:lineRule="exact"/>
        <w:ind w:firstLineChars="200" w:firstLine="640"/>
        <w:jc w:val="both"/>
        <w:rPr>
          <w:rStyle w:val="bjh-p"/>
          <w:rFonts w:ascii="仿宋" w:eastAsia="仿宋" w:hAnsi="仿宋" w:cs="Times New Roman"/>
          <w:color w:val="000000"/>
          <w:sz w:val="32"/>
          <w:szCs w:val="32"/>
        </w:rPr>
      </w:pPr>
      <w:r w:rsidRPr="00F6026B">
        <w:rPr>
          <w:rFonts w:ascii="楷体" w:eastAsia="楷体" w:hAnsi="楷体" w:cs="Times New Roman" w:hint="eastAsia"/>
          <w:color w:val="000000"/>
          <w:kern w:val="2"/>
          <w:sz w:val="32"/>
          <w:szCs w:val="32"/>
        </w:rPr>
        <w:t>课题的必要性：</w:t>
      </w:r>
      <w:r w:rsidRPr="00F6026B">
        <w:rPr>
          <w:rFonts w:ascii="仿宋" w:eastAsia="仿宋" w:hAnsi="仿宋" w:cs="Times New Roman" w:hint="eastAsia"/>
          <w:color w:val="000000"/>
          <w:kern w:val="2"/>
          <w:sz w:val="32"/>
          <w:szCs w:val="32"/>
        </w:rPr>
        <w:t>2019年，</w:t>
      </w:r>
      <w:r w:rsidRPr="00F6026B">
        <w:rPr>
          <w:rStyle w:val="bjh-p"/>
          <w:rFonts w:ascii="仿宋" w:eastAsia="仿宋" w:hAnsi="仿宋" w:cs="Times New Roman" w:hint="eastAsia"/>
          <w:color w:val="000000"/>
          <w:sz w:val="32"/>
          <w:szCs w:val="32"/>
        </w:rPr>
        <w:t>生态环境部印发《关于进一步规范适用环境行政处罚自由裁量权的指导意见》（</w:t>
      </w:r>
      <w:proofErr w:type="gramStart"/>
      <w:r w:rsidRPr="00F6026B">
        <w:rPr>
          <w:rStyle w:val="bjh-p"/>
          <w:rFonts w:ascii="仿宋" w:eastAsia="仿宋" w:hAnsi="仿宋" w:cs="Times New Roman" w:hint="eastAsia"/>
          <w:color w:val="000000"/>
          <w:sz w:val="32"/>
          <w:szCs w:val="32"/>
        </w:rPr>
        <w:t>环执法</w:t>
      </w:r>
      <w:proofErr w:type="gramEnd"/>
      <w:r w:rsidRPr="00F6026B">
        <w:rPr>
          <w:rStyle w:val="bjh-p"/>
          <w:rFonts w:ascii="仿宋" w:eastAsia="仿宋" w:hAnsi="仿宋" w:cs="Times New Roman" w:hint="eastAsia"/>
          <w:color w:val="000000"/>
          <w:sz w:val="32"/>
          <w:szCs w:val="32"/>
        </w:rPr>
        <w:t>〔2019〕42号），进一步指导和督促地方生态环境部门规范行政执法自由裁量权。地方生态环境部门也相继制定了规范自由裁量权的专门规定。随着生态环境保护法律法规日益完善，特别是环境保护法修订以来，大气污染防治法、环境影响评价法、水污染防治法、土</w:t>
      </w:r>
      <w:r w:rsidRPr="00F6026B">
        <w:rPr>
          <w:rStyle w:val="bjh-p"/>
          <w:rFonts w:ascii="仿宋" w:eastAsia="仿宋" w:hAnsi="仿宋" w:cs="Times New Roman" w:hint="eastAsia"/>
          <w:color w:val="000000"/>
          <w:sz w:val="32"/>
          <w:szCs w:val="32"/>
        </w:rPr>
        <w:lastRenderedPageBreak/>
        <w:t>壤污染防治法、建设项目环境保护管理条例等多部法律法规相继修订或制定出台，生态环境执法手段更加丰富，环境行政处罚种类增多，罚款处罚数额大幅提高，行政处罚自由裁量权随之扩大。在此背景下，为深入推进严格规范公正文明执法，防范执法风险、提高执法效能，保护相对人合法权益、营造公平竞争的市场环境，有必要对生态环境执法自由裁量权问题进行研究。</w:t>
      </w:r>
    </w:p>
    <w:p w:rsidR="00206325" w:rsidRPr="00F6026B" w:rsidRDefault="00206325" w:rsidP="00206325">
      <w:pPr>
        <w:adjustRightInd w:val="0"/>
        <w:snapToGrid w:val="0"/>
        <w:spacing w:line="560" w:lineRule="exact"/>
        <w:ind w:firstLineChars="200" w:firstLine="640"/>
        <w:rPr>
          <w:rStyle w:val="bjh-p"/>
          <w:rFonts w:ascii="仿宋" w:eastAsia="仿宋" w:hAnsi="仿宋"/>
          <w:color w:val="000000"/>
          <w:kern w:val="0"/>
          <w:sz w:val="32"/>
          <w:szCs w:val="32"/>
        </w:rPr>
      </w:pPr>
      <w:r w:rsidRPr="00F6026B">
        <w:rPr>
          <w:rFonts w:ascii="楷体" w:eastAsia="楷体" w:hAnsi="楷体" w:hint="eastAsia"/>
          <w:color w:val="000000"/>
          <w:sz w:val="32"/>
          <w:szCs w:val="32"/>
        </w:rPr>
        <w:t>研究范围及要求：</w:t>
      </w:r>
      <w:r w:rsidRPr="00F6026B">
        <w:rPr>
          <w:rStyle w:val="bjh-p"/>
          <w:rFonts w:ascii="仿宋" w:eastAsia="仿宋" w:hAnsi="仿宋" w:hint="eastAsia"/>
          <w:color w:val="000000"/>
          <w:kern w:val="0"/>
          <w:sz w:val="32"/>
          <w:szCs w:val="32"/>
        </w:rPr>
        <w:t>一是制定</w:t>
      </w:r>
      <w:proofErr w:type="gramStart"/>
      <w:r w:rsidRPr="00F6026B">
        <w:rPr>
          <w:rStyle w:val="bjh-p"/>
          <w:rFonts w:ascii="仿宋" w:eastAsia="仿宋" w:hAnsi="仿宋" w:hint="eastAsia"/>
          <w:color w:val="000000"/>
          <w:kern w:val="0"/>
          <w:sz w:val="32"/>
          <w:szCs w:val="32"/>
        </w:rPr>
        <w:t>裁</w:t>
      </w:r>
      <w:proofErr w:type="gramEnd"/>
      <w:r w:rsidRPr="00F6026B">
        <w:rPr>
          <w:rStyle w:val="bjh-p"/>
          <w:rFonts w:ascii="仿宋" w:eastAsia="仿宋" w:hAnsi="仿宋" w:hint="eastAsia"/>
          <w:color w:val="000000"/>
          <w:kern w:val="0"/>
          <w:sz w:val="32"/>
          <w:szCs w:val="32"/>
        </w:rPr>
        <w:t>量规则和基准的原则、主体、程序和基本方法；二是适用自由裁量权的基本原则和配套制度；三是对裁量</w:t>
      </w:r>
      <w:proofErr w:type="gramStart"/>
      <w:r w:rsidRPr="00F6026B">
        <w:rPr>
          <w:rStyle w:val="bjh-p"/>
          <w:rFonts w:ascii="仿宋" w:eastAsia="仿宋" w:hAnsi="仿宋" w:hint="eastAsia"/>
          <w:color w:val="000000"/>
          <w:kern w:val="0"/>
          <w:sz w:val="32"/>
          <w:szCs w:val="32"/>
        </w:rPr>
        <w:t>权运行</w:t>
      </w:r>
      <w:proofErr w:type="gramEnd"/>
      <w:r w:rsidRPr="00F6026B">
        <w:rPr>
          <w:rStyle w:val="bjh-p"/>
          <w:rFonts w:ascii="仿宋" w:eastAsia="仿宋" w:hAnsi="仿宋" w:hint="eastAsia"/>
          <w:color w:val="000000"/>
          <w:kern w:val="0"/>
          <w:sz w:val="32"/>
          <w:szCs w:val="32"/>
        </w:rPr>
        <w:t>的监督和考评；四是典型环境违法行为自由裁量基准及计算方法。</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3.新时代构建知识产权综合司法保护机制研究（编号：2021jssf003）</w:t>
      </w:r>
    </w:p>
    <w:p w:rsidR="00206325" w:rsidRPr="00F6026B" w:rsidRDefault="00206325" w:rsidP="00206325">
      <w:pPr>
        <w:adjustRightInd w:val="0"/>
        <w:snapToGrid w:val="0"/>
        <w:spacing w:line="560" w:lineRule="exact"/>
        <w:ind w:firstLineChars="200" w:firstLine="640"/>
        <w:rPr>
          <w:rFonts w:ascii="仿宋" w:eastAsia="仿宋" w:hAnsi="仿宋"/>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sz w:val="32"/>
          <w:szCs w:val="32"/>
        </w:rPr>
        <w:t>党的十九届五中全会强调，坚持创新在我国现代化建设全局中的核心地位，《法治中国建设规划（2020-2025年）》也强调“完善发展文化事业和文化产业、保护知识产权等方面的法律法规”，江苏省委“十四五”规划建议指出“全面加强知识产权保护工作，增强全链条系统保护能力”。当前，创新是引领发展的第一动力，保护知识产权就是保护创新。但是，目前知识产权司法保护存在体系混乱、条块分割、力度不大等问题。因此，在新时代发展背景下，</w:t>
      </w:r>
      <w:r>
        <w:rPr>
          <w:rFonts w:ascii="仿宋" w:eastAsia="仿宋" w:hAnsi="仿宋" w:hint="eastAsia"/>
          <w:sz w:val="32"/>
          <w:szCs w:val="32"/>
        </w:rPr>
        <w:t>有必要</w:t>
      </w:r>
      <w:r w:rsidRPr="00F6026B">
        <w:rPr>
          <w:rFonts w:ascii="仿宋" w:eastAsia="仿宋" w:hAnsi="仿宋" w:hint="eastAsia"/>
          <w:sz w:val="32"/>
          <w:szCs w:val="32"/>
        </w:rPr>
        <w:t>对构建知识产权综合司法保护机制开展研究。</w:t>
      </w:r>
    </w:p>
    <w:p w:rsidR="00206325" w:rsidRPr="00F6026B" w:rsidRDefault="00206325" w:rsidP="00206325">
      <w:pPr>
        <w:adjustRightInd w:val="0"/>
        <w:snapToGrid w:val="0"/>
        <w:spacing w:line="560" w:lineRule="exact"/>
        <w:ind w:firstLineChars="200" w:firstLine="640"/>
        <w:rPr>
          <w:rFonts w:ascii="仿宋" w:eastAsia="仿宋" w:hAnsi="仿宋"/>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sz w:val="32"/>
          <w:szCs w:val="32"/>
        </w:rPr>
        <w:t xml:space="preserve">分析知识产权司法保护机制面临的困境等问题，对知识产权综合司法保护机制的完善路径提出对策建议。 </w:t>
      </w:r>
    </w:p>
    <w:p w:rsidR="00206325" w:rsidRPr="00F6026B" w:rsidRDefault="00206325" w:rsidP="00206325">
      <w:pPr>
        <w:adjustRightInd w:val="0"/>
        <w:snapToGrid w:val="0"/>
        <w:spacing w:line="560" w:lineRule="exact"/>
        <w:ind w:firstLineChars="200" w:firstLine="640"/>
        <w:rPr>
          <w:rFonts w:ascii="黑体" w:eastAsia="黑体" w:hAnsi="黑体" w:cs="宋体"/>
          <w:color w:val="000000"/>
          <w:kern w:val="0"/>
          <w:sz w:val="32"/>
          <w:szCs w:val="32"/>
        </w:rPr>
      </w:pPr>
      <w:r w:rsidRPr="00F6026B">
        <w:rPr>
          <w:rFonts w:ascii="黑体" w:eastAsia="黑体" w:hAnsi="黑体" w:cs="宋体" w:hint="eastAsia"/>
          <w:color w:val="000000"/>
          <w:kern w:val="0"/>
          <w:sz w:val="32"/>
          <w:szCs w:val="32"/>
        </w:rPr>
        <w:t>二、一般项目</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lastRenderedPageBreak/>
        <w:t>4.数字平台反垄断法治保障研究（编号：2021jssf004）</w:t>
      </w:r>
    </w:p>
    <w:p w:rsidR="00206325" w:rsidRPr="00F6026B" w:rsidRDefault="00206325" w:rsidP="00206325">
      <w:pPr>
        <w:adjustRightInd w:val="0"/>
        <w:snapToGrid w:val="0"/>
        <w:spacing w:line="560" w:lineRule="exact"/>
        <w:ind w:firstLineChars="200" w:firstLine="640"/>
        <w:rPr>
          <w:rFonts w:ascii="仿宋" w:eastAsia="仿宋" w:hAnsi="仿宋" w:hint="eastAsia"/>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随着信息技术的飞速发展，数字经济作为经济增长的新引擎，在为市场带来更多机遇的同时，也产生了许多新的问题。2019年8月，国务院办公厅印发《关于促进平台经济规范健康发展的指导意见》，平台经济的垄断问题成为学界、实务</w:t>
      </w:r>
      <w:proofErr w:type="gramStart"/>
      <w:r w:rsidRPr="00F6026B">
        <w:rPr>
          <w:rFonts w:ascii="仿宋" w:eastAsia="仿宋" w:hAnsi="仿宋" w:hint="eastAsia"/>
          <w:color w:val="000000"/>
          <w:sz w:val="32"/>
          <w:szCs w:val="32"/>
        </w:rPr>
        <w:t>界热议</w:t>
      </w:r>
      <w:proofErr w:type="gramEnd"/>
      <w:r w:rsidRPr="00F6026B">
        <w:rPr>
          <w:rFonts w:ascii="仿宋" w:eastAsia="仿宋" w:hAnsi="仿宋" w:hint="eastAsia"/>
          <w:color w:val="000000"/>
          <w:sz w:val="32"/>
          <w:szCs w:val="32"/>
        </w:rPr>
        <w:t>的话题。当前，数字平台的治理难题已然成为中国乃至世界互联网治理的共同挑战。为促进互联网行业规范化、法治化发展，顺应当前及十四五时期进一步深化互联网平台规制改革的要求，对数字平台反垄断法治保障进行研究，进一步优化数字经济营商环境，维护互联网行业公平竞争。</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分析数字平台企业竞争优势的来源及垄断的表征形式，对完善数字平台反垄断法治保障提出具有可操作性的对策建议。</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5.基于分类分级视域下的社区矫正教育管理研究（编号：2021jssf005）</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社区矫正是立足我国基本国情发展起来的具有中国特色的非监禁刑事执行制度，是维护国家安全、推进国家治理体系和治理能力现代化的一项重要制度。《法治中国建设规划（2020-2025年）》强调要“完善社区矫正制度”。《中华人民共和国社区矫正法》已于2020年7月1日起施行，社区矫正进入了新的发展阶段。为贯彻施行该法，落实宽严相济刑事政策，促进社区矫正对象顺利融入社会，预防和减少重新犯罪，提升社区矫正工作质量，加强基于分类分级视域下的社区矫正教育管理工作研究，实现依法矫正、精细管理、精准矫治、精心帮扶。</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lastRenderedPageBreak/>
        <w:t>研究范围及要求：</w:t>
      </w:r>
      <w:r w:rsidRPr="00F6026B">
        <w:rPr>
          <w:rFonts w:ascii="仿宋" w:eastAsia="仿宋" w:hAnsi="仿宋" w:hint="eastAsia"/>
          <w:color w:val="000000"/>
          <w:sz w:val="32"/>
          <w:szCs w:val="32"/>
        </w:rPr>
        <w:t>一是明确社区矫正分类分级教育管理的概念、内容和原则；二是明确社区矫正机构、受委托司法所、矫正小组在开展社区矫正教育管理工作中的地位、职责；三是明确分类分级管理在实现社区矫正规范化、精细化、信息化的路径和方法；四是明确分类分级管理在社区矫正教育管理实务工作中的具体实施。</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6.治理视域下的公共法律服务体系现代化研究（编号：2021jssf006）</w:t>
      </w:r>
    </w:p>
    <w:p w:rsidR="00206325" w:rsidRPr="00F6026B" w:rsidRDefault="00206325" w:rsidP="00206325">
      <w:pPr>
        <w:adjustRightInd w:val="0"/>
        <w:snapToGrid w:val="0"/>
        <w:spacing w:line="560" w:lineRule="exact"/>
        <w:ind w:firstLine="65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公共法律服务体系建设是公共服务体系建设的重要组成部分，是保障和改善民生的重要举措，是推动经济社会发展、繁荣公共法律服务的必然要求，是推进国家治理体系和治理能力现代化的重要基础性、服务性和保障性工作。《法治中国建设规划（2020-2025年）》指出,要紧紧围绕人民日益增长的美好生活需要加强公共法律服务，加快整合律师、公证、调解、仲裁、法律援助、司法鉴定等公共法律服务资源，到2022年基本形成覆盖城乡、便捷高效、均等普惠的现代公共法律服务体系。因此，需要在治理视域下对公共法律服务体系现代化开展研究，推进公共法律服务完善进程。</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从公共法律服务体系现代化的本质、内涵和外延、举措、评价等方面开展研究。</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7.治理体系和治理能力现代化背景下完善法律援助制度研究（编号：2021jssf007）</w:t>
      </w:r>
    </w:p>
    <w:p w:rsidR="00206325" w:rsidRPr="00F6026B" w:rsidRDefault="00206325" w:rsidP="00206325">
      <w:pPr>
        <w:tabs>
          <w:tab w:val="center" w:pos="4153"/>
          <w:tab w:val="right" w:pos="8306"/>
        </w:tabs>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党的十九届四中全会对“坚持和完善中国特色社会主义制度、推进国家治理体系和治理能力现代化”</w:t>
      </w:r>
      <w:proofErr w:type="gramStart"/>
      <w:r w:rsidRPr="00F6026B">
        <w:rPr>
          <w:rFonts w:ascii="仿宋" w:eastAsia="仿宋" w:hAnsi="仿宋" w:hint="eastAsia"/>
          <w:color w:val="000000"/>
          <w:sz w:val="32"/>
          <w:szCs w:val="32"/>
        </w:rPr>
        <w:t>作出</w:t>
      </w:r>
      <w:proofErr w:type="gramEnd"/>
      <w:r w:rsidRPr="00F6026B">
        <w:rPr>
          <w:rFonts w:ascii="仿宋" w:eastAsia="仿宋" w:hAnsi="仿宋" w:hint="eastAsia"/>
          <w:color w:val="000000"/>
          <w:sz w:val="32"/>
          <w:szCs w:val="32"/>
        </w:rPr>
        <w:t>全</w:t>
      </w:r>
      <w:r w:rsidRPr="00F6026B">
        <w:rPr>
          <w:rFonts w:ascii="仿宋" w:eastAsia="仿宋" w:hAnsi="仿宋" w:hint="eastAsia"/>
          <w:color w:val="000000"/>
          <w:sz w:val="32"/>
          <w:szCs w:val="32"/>
        </w:rPr>
        <w:lastRenderedPageBreak/>
        <w:t>面部署，提出要“健全社会公平正义法治保障制度”。目前，全国人大正在推进《法律援助法》立法，《江苏省法律援助条例》也已纳入省人大常委会2018-2022</w:t>
      </w:r>
      <w:r>
        <w:rPr>
          <w:rFonts w:ascii="仿宋" w:eastAsia="仿宋" w:hAnsi="仿宋" w:hint="eastAsia"/>
          <w:color w:val="000000"/>
          <w:sz w:val="32"/>
          <w:szCs w:val="32"/>
        </w:rPr>
        <w:t>年</w:t>
      </w:r>
      <w:r w:rsidRPr="00F6026B">
        <w:rPr>
          <w:rFonts w:ascii="仿宋" w:eastAsia="仿宋" w:hAnsi="仿宋" w:hint="eastAsia"/>
          <w:color w:val="000000"/>
          <w:sz w:val="32"/>
          <w:szCs w:val="32"/>
        </w:rPr>
        <w:t>立法规划正式项目。在此背景下，开展完善法律援助制度研究，对我省法律援助发展具有实践指导意义，为《江苏省法律援助条例》的修订做好前期准备工作，同时也为国家法律援助立法提供有价值的参考素材。</w:t>
      </w:r>
    </w:p>
    <w:p w:rsidR="00206325" w:rsidRPr="00F6026B" w:rsidRDefault="00206325" w:rsidP="00206325">
      <w:pPr>
        <w:tabs>
          <w:tab w:val="center" w:pos="4153"/>
          <w:tab w:val="right" w:pos="8306"/>
        </w:tabs>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以满足人民群众的法律援助需求为目标，提出进一步增强法律援助服务提供能力、完善法律援助制度、推动法律援助工作高质量发展的措施、方法、实现路径，充分发挥法律援助在保障社会公平正义、推进治理体系和治理能力现代化中的重要作用。</w:t>
      </w:r>
    </w:p>
    <w:p w:rsidR="00206325" w:rsidRPr="00CD464C" w:rsidRDefault="00206325" w:rsidP="00206325">
      <w:pPr>
        <w:adjustRightInd w:val="0"/>
        <w:snapToGrid w:val="0"/>
        <w:spacing w:line="560" w:lineRule="exact"/>
        <w:ind w:firstLineChars="200" w:firstLine="624"/>
        <w:rPr>
          <w:rFonts w:ascii="仿宋" w:eastAsia="仿宋" w:hAnsi="仿宋"/>
          <w:color w:val="000000"/>
          <w:spacing w:val="-4"/>
          <w:sz w:val="32"/>
          <w:szCs w:val="32"/>
        </w:rPr>
      </w:pPr>
      <w:r w:rsidRPr="00CD464C">
        <w:rPr>
          <w:rFonts w:ascii="仿宋" w:eastAsia="仿宋" w:hAnsi="仿宋" w:hint="eastAsia"/>
          <w:color w:val="000000"/>
          <w:spacing w:val="-4"/>
          <w:sz w:val="32"/>
          <w:szCs w:val="32"/>
        </w:rPr>
        <w:t>8.安全生产非现场监管执法立法保障研究（编号：2021jssf008）</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运用科技手段实现安全生产非现场监管执法，是解决安全生产监督管理实践中突出问题的重要方式。新</w:t>
      </w:r>
      <w:r>
        <w:rPr>
          <w:rFonts w:ascii="仿宋" w:eastAsia="仿宋" w:hAnsi="仿宋" w:hint="eastAsia"/>
          <w:color w:val="000000"/>
          <w:sz w:val="32"/>
          <w:szCs w:val="32"/>
        </w:rPr>
        <w:t>修订的《行政处罚法》对采用电子技术监控设备进行监管执法</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明确</w:t>
      </w:r>
      <w:r w:rsidRPr="00F6026B">
        <w:rPr>
          <w:rFonts w:ascii="仿宋" w:eastAsia="仿宋" w:hAnsi="仿宋" w:hint="eastAsia"/>
          <w:color w:val="000000"/>
          <w:sz w:val="32"/>
          <w:szCs w:val="32"/>
        </w:rPr>
        <w:t>要求。但是，目前安全生产法律法规体系中尚未明确非现场监管执法的法律定位。因此，加强安全生产非现场监管执法立法保障研究，有助于提高执法的效率和精准性，有效解决应急管理部门“人少事多”的矛盾，将大量的执法检查工作由传统的执法人员直接进入企业现场检查转型为通过视频监控等信息化手段进行网上巡查，降低对企业生产经营秩序的影响，有助于创造良好的营商环境。</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分析</w:t>
      </w:r>
      <w:r w:rsidRPr="00F6026B">
        <w:rPr>
          <w:rFonts w:ascii="仿宋" w:eastAsia="仿宋" w:hAnsi="仿宋"/>
          <w:color w:val="000000"/>
          <w:sz w:val="32"/>
          <w:szCs w:val="32"/>
        </w:rPr>
        <w:t>当前安全生产</w:t>
      </w:r>
      <w:r w:rsidRPr="00F6026B">
        <w:rPr>
          <w:rFonts w:ascii="仿宋" w:eastAsia="仿宋" w:hAnsi="仿宋" w:hint="eastAsia"/>
          <w:color w:val="000000"/>
          <w:sz w:val="32"/>
          <w:szCs w:val="32"/>
        </w:rPr>
        <w:t>监督管理中</w:t>
      </w:r>
      <w:r w:rsidRPr="00F6026B">
        <w:rPr>
          <w:rFonts w:ascii="仿宋" w:eastAsia="仿宋" w:hAnsi="仿宋"/>
          <w:color w:val="000000"/>
          <w:sz w:val="32"/>
          <w:szCs w:val="32"/>
        </w:rPr>
        <w:t>可以采用非现场</w:t>
      </w:r>
      <w:r w:rsidRPr="00F6026B">
        <w:rPr>
          <w:rFonts w:ascii="仿宋" w:eastAsia="仿宋" w:hAnsi="仿宋" w:hint="eastAsia"/>
          <w:color w:val="000000"/>
          <w:sz w:val="32"/>
          <w:szCs w:val="32"/>
        </w:rPr>
        <w:t>监管</w:t>
      </w:r>
      <w:r w:rsidRPr="00F6026B">
        <w:rPr>
          <w:rFonts w:ascii="仿宋" w:eastAsia="仿宋" w:hAnsi="仿宋"/>
          <w:color w:val="000000"/>
          <w:sz w:val="32"/>
          <w:szCs w:val="32"/>
        </w:rPr>
        <w:t>执法的违法行为，</w:t>
      </w:r>
      <w:r w:rsidRPr="00F6026B">
        <w:rPr>
          <w:rFonts w:ascii="仿宋" w:eastAsia="仿宋" w:hAnsi="仿宋" w:hint="eastAsia"/>
          <w:color w:val="000000"/>
          <w:sz w:val="32"/>
          <w:szCs w:val="32"/>
        </w:rPr>
        <w:t>明确</w:t>
      </w:r>
      <w:r w:rsidRPr="00F6026B">
        <w:rPr>
          <w:rFonts w:ascii="仿宋" w:eastAsia="仿宋" w:hAnsi="仿宋"/>
          <w:color w:val="000000"/>
          <w:sz w:val="32"/>
          <w:szCs w:val="32"/>
        </w:rPr>
        <w:t>非现场监管执法内容，</w:t>
      </w:r>
      <w:r w:rsidRPr="00F6026B">
        <w:rPr>
          <w:rFonts w:ascii="仿宋" w:eastAsia="仿宋" w:hAnsi="仿宋" w:hint="eastAsia"/>
          <w:color w:val="000000"/>
          <w:sz w:val="32"/>
          <w:szCs w:val="32"/>
        </w:rPr>
        <w:t>规范</w:t>
      </w:r>
      <w:r w:rsidRPr="00F6026B">
        <w:rPr>
          <w:rFonts w:ascii="仿宋" w:eastAsia="仿宋" w:hAnsi="仿宋"/>
          <w:color w:val="000000"/>
          <w:sz w:val="32"/>
          <w:szCs w:val="32"/>
        </w:rPr>
        <w:t>非</w:t>
      </w:r>
      <w:r w:rsidRPr="00F6026B">
        <w:rPr>
          <w:rFonts w:ascii="仿宋" w:eastAsia="仿宋" w:hAnsi="仿宋" w:hint="eastAsia"/>
          <w:color w:val="000000"/>
          <w:sz w:val="32"/>
          <w:szCs w:val="32"/>
        </w:rPr>
        <w:t>现</w:t>
      </w:r>
      <w:r w:rsidRPr="00F6026B">
        <w:rPr>
          <w:rFonts w:ascii="仿宋" w:eastAsia="仿宋" w:hAnsi="仿宋" w:hint="eastAsia"/>
          <w:color w:val="000000"/>
          <w:sz w:val="32"/>
          <w:szCs w:val="32"/>
        </w:rPr>
        <w:lastRenderedPageBreak/>
        <w:t>场</w:t>
      </w:r>
      <w:r w:rsidRPr="00F6026B">
        <w:rPr>
          <w:rFonts w:ascii="仿宋" w:eastAsia="仿宋" w:hAnsi="仿宋"/>
          <w:color w:val="000000"/>
          <w:sz w:val="32"/>
          <w:szCs w:val="32"/>
        </w:rPr>
        <w:t>监管执法程序</w:t>
      </w:r>
      <w:r w:rsidRPr="00F6026B">
        <w:rPr>
          <w:rFonts w:ascii="仿宋" w:eastAsia="仿宋" w:hAnsi="仿宋" w:hint="eastAsia"/>
          <w:color w:val="000000"/>
          <w:sz w:val="32"/>
          <w:szCs w:val="32"/>
        </w:rPr>
        <w:t>。</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9.长三角市场监管领域统一的行政执法免罚规定研究（编号：2021jssf009）</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长三角区域</w:t>
      </w:r>
      <w:r w:rsidRPr="00F6026B">
        <w:rPr>
          <w:rFonts w:ascii="仿宋" w:eastAsia="仿宋" w:hAnsi="仿宋"/>
          <w:color w:val="000000"/>
          <w:sz w:val="32"/>
          <w:szCs w:val="32"/>
        </w:rPr>
        <w:t>是中国经济发展最活跃、开放程度最高、创新能力最强的区域之一，在国家现代化建设大局和全方位开放格局中具有举足轻重的战略地位。近年来，长三角</w:t>
      </w:r>
      <w:r w:rsidRPr="00F6026B">
        <w:rPr>
          <w:rFonts w:ascii="仿宋" w:eastAsia="仿宋" w:hAnsi="仿宋" w:hint="eastAsia"/>
          <w:color w:val="000000"/>
          <w:sz w:val="32"/>
          <w:szCs w:val="32"/>
        </w:rPr>
        <w:t>区域</w:t>
      </w:r>
      <w:r w:rsidRPr="00F6026B">
        <w:rPr>
          <w:rFonts w:ascii="仿宋" w:eastAsia="仿宋" w:hAnsi="仿宋"/>
          <w:color w:val="000000"/>
          <w:sz w:val="32"/>
          <w:szCs w:val="32"/>
        </w:rPr>
        <w:t>一体化加快发展，执法协作日益增多。开展长三角市场监管领域统一的行政执法免罚规定研究，探索沪苏浙</w:t>
      </w:r>
      <w:proofErr w:type="gramStart"/>
      <w:r w:rsidRPr="00F6026B">
        <w:rPr>
          <w:rFonts w:ascii="仿宋" w:eastAsia="仿宋" w:hAnsi="仿宋"/>
          <w:color w:val="000000"/>
          <w:sz w:val="32"/>
          <w:szCs w:val="32"/>
        </w:rPr>
        <w:t>皖市场</w:t>
      </w:r>
      <w:proofErr w:type="gramEnd"/>
      <w:r w:rsidRPr="00F6026B">
        <w:rPr>
          <w:rFonts w:ascii="仿宋" w:eastAsia="仿宋" w:hAnsi="仿宋"/>
          <w:color w:val="000000"/>
          <w:sz w:val="32"/>
          <w:szCs w:val="32"/>
        </w:rPr>
        <w:t>监管</w:t>
      </w:r>
      <w:r w:rsidRPr="00F6026B">
        <w:rPr>
          <w:rFonts w:ascii="仿宋" w:eastAsia="仿宋" w:hAnsi="仿宋" w:hint="eastAsia"/>
          <w:color w:val="000000"/>
          <w:sz w:val="32"/>
          <w:szCs w:val="32"/>
        </w:rPr>
        <w:t>领域</w:t>
      </w:r>
      <w:r w:rsidRPr="00F6026B">
        <w:rPr>
          <w:rFonts w:ascii="仿宋" w:eastAsia="仿宋" w:hAnsi="仿宋"/>
          <w:color w:val="000000"/>
          <w:sz w:val="32"/>
          <w:szCs w:val="32"/>
        </w:rPr>
        <w:t>一体化模式下包容审慎监管与严格监管并重</w:t>
      </w:r>
      <w:r w:rsidRPr="00F6026B">
        <w:rPr>
          <w:rFonts w:ascii="仿宋" w:eastAsia="仿宋" w:hAnsi="仿宋" w:hint="eastAsia"/>
          <w:color w:val="000000"/>
          <w:sz w:val="32"/>
          <w:szCs w:val="32"/>
        </w:rPr>
        <w:t>、</w:t>
      </w:r>
      <w:r w:rsidRPr="00F6026B">
        <w:rPr>
          <w:rFonts w:ascii="仿宋" w:eastAsia="仿宋" w:hAnsi="仿宋"/>
          <w:color w:val="000000"/>
          <w:sz w:val="32"/>
          <w:szCs w:val="32"/>
        </w:rPr>
        <w:t>体现过罚</w:t>
      </w:r>
      <w:proofErr w:type="gramStart"/>
      <w:r w:rsidRPr="00F6026B">
        <w:rPr>
          <w:rFonts w:ascii="仿宋" w:eastAsia="仿宋" w:hAnsi="仿宋"/>
          <w:color w:val="000000"/>
          <w:sz w:val="32"/>
          <w:szCs w:val="32"/>
        </w:rPr>
        <w:t>相当</w:t>
      </w:r>
      <w:proofErr w:type="gramEnd"/>
      <w:r w:rsidRPr="00F6026B">
        <w:rPr>
          <w:rFonts w:ascii="仿宋" w:eastAsia="仿宋" w:hAnsi="仿宋"/>
          <w:color w:val="000000"/>
          <w:sz w:val="32"/>
          <w:szCs w:val="32"/>
        </w:rPr>
        <w:t>与宽严相济法治精神的制度体系和路径模式，提升长三角</w:t>
      </w:r>
      <w:r w:rsidRPr="00F6026B">
        <w:rPr>
          <w:rFonts w:ascii="仿宋" w:eastAsia="仿宋" w:hAnsi="仿宋" w:hint="eastAsia"/>
          <w:color w:val="000000"/>
          <w:sz w:val="32"/>
          <w:szCs w:val="32"/>
        </w:rPr>
        <w:t>区域</w:t>
      </w:r>
      <w:r w:rsidRPr="00F6026B">
        <w:rPr>
          <w:rFonts w:ascii="仿宋" w:eastAsia="仿宋" w:hAnsi="仿宋"/>
          <w:color w:val="000000"/>
          <w:sz w:val="32"/>
          <w:szCs w:val="32"/>
        </w:rPr>
        <w:t>市场监管整体综合效能</w:t>
      </w:r>
      <w:r w:rsidRPr="00F6026B">
        <w:rPr>
          <w:rFonts w:ascii="仿宋" w:eastAsia="仿宋" w:hAnsi="仿宋" w:hint="eastAsia"/>
          <w:color w:val="000000"/>
          <w:sz w:val="32"/>
          <w:szCs w:val="32"/>
        </w:rPr>
        <w:t>，落实国家长三角</w:t>
      </w:r>
      <w:r w:rsidRPr="00F6026B">
        <w:rPr>
          <w:rFonts w:ascii="仿宋" w:eastAsia="仿宋" w:hAnsi="仿宋"/>
          <w:color w:val="000000"/>
          <w:sz w:val="32"/>
          <w:szCs w:val="32"/>
        </w:rPr>
        <w:t>区</w:t>
      </w:r>
      <w:proofErr w:type="gramStart"/>
      <w:r w:rsidRPr="00F6026B">
        <w:rPr>
          <w:rFonts w:ascii="仿宋" w:eastAsia="仿宋" w:hAnsi="仿宋"/>
          <w:color w:val="000000"/>
          <w:sz w:val="32"/>
          <w:szCs w:val="32"/>
        </w:rPr>
        <w:t>域协调</w:t>
      </w:r>
      <w:proofErr w:type="gramEnd"/>
      <w:r w:rsidRPr="00F6026B">
        <w:rPr>
          <w:rFonts w:ascii="仿宋" w:eastAsia="仿宋" w:hAnsi="仿宋"/>
          <w:color w:val="000000"/>
          <w:sz w:val="32"/>
          <w:szCs w:val="32"/>
        </w:rPr>
        <w:t>发展战略</w:t>
      </w:r>
      <w:r w:rsidRPr="00F6026B">
        <w:rPr>
          <w:rFonts w:ascii="仿宋" w:eastAsia="仿宋" w:hAnsi="仿宋" w:hint="eastAsia"/>
          <w:color w:val="000000"/>
          <w:sz w:val="32"/>
          <w:szCs w:val="32"/>
        </w:rPr>
        <w:t>。</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立</w:t>
      </w:r>
      <w:r w:rsidRPr="00F6026B">
        <w:rPr>
          <w:rFonts w:ascii="仿宋" w:eastAsia="仿宋" w:hAnsi="仿宋"/>
          <w:color w:val="000000"/>
          <w:sz w:val="32"/>
          <w:szCs w:val="32"/>
        </w:rPr>
        <w:t>足于长三角</w:t>
      </w:r>
      <w:r w:rsidRPr="00F6026B">
        <w:rPr>
          <w:rFonts w:ascii="仿宋" w:eastAsia="仿宋" w:hAnsi="仿宋" w:hint="eastAsia"/>
          <w:color w:val="000000"/>
          <w:sz w:val="32"/>
          <w:szCs w:val="32"/>
        </w:rPr>
        <w:t>区域</w:t>
      </w:r>
      <w:r w:rsidRPr="00F6026B">
        <w:rPr>
          <w:rFonts w:ascii="仿宋" w:eastAsia="仿宋" w:hAnsi="仿宋"/>
          <w:color w:val="000000"/>
          <w:sz w:val="32"/>
          <w:szCs w:val="32"/>
        </w:rPr>
        <w:t>一体化发展背景，针对目前已经实施的市场监管免罚规定开展评价，制定长三角市场监管领域统一的行政执法免罚规定。</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10.行政处罚权下放机制研究——以江苏基层行政处罚实践为样本（编号：2021jssf010）</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color w:val="000000"/>
          <w:sz w:val="32"/>
          <w:szCs w:val="32"/>
        </w:rPr>
        <w:t>行政处罚权重心下移是行政执法体制改革的核心内容，新修订的《行政处罚法》第</w:t>
      </w:r>
      <w:r w:rsidRPr="00F6026B">
        <w:rPr>
          <w:rFonts w:ascii="仿宋" w:eastAsia="仿宋" w:hAnsi="仿宋" w:hint="eastAsia"/>
          <w:color w:val="000000"/>
          <w:sz w:val="32"/>
          <w:szCs w:val="32"/>
        </w:rPr>
        <w:t>二</w:t>
      </w:r>
      <w:r w:rsidRPr="00F6026B">
        <w:rPr>
          <w:rFonts w:ascii="仿宋" w:eastAsia="仿宋" w:hAnsi="仿宋"/>
          <w:color w:val="000000"/>
          <w:sz w:val="32"/>
          <w:szCs w:val="32"/>
        </w:rPr>
        <w:t>十四条第</w:t>
      </w:r>
      <w:r w:rsidRPr="00F6026B">
        <w:rPr>
          <w:rFonts w:ascii="仿宋" w:eastAsia="仿宋" w:hAnsi="仿宋" w:hint="eastAsia"/>
          <w:color w:val="000000"/>
          <w:sz w:val="32"/>
          <w:szCs w:val="32"/>
        </w:rPr>
        <w:t>一</w:t>
      </w:r>
      <w:r w:rsidRPr="00F6026B">
        <w:rPr>
          <w:rFonts w:ascii="仿宋" w:eastAsia="仿宋" w:hAnsi="仿宋"/>
          <w:color w:val="000000"/>
          <w:sz w:val="32"/>
          <w:szCs w:val="32"/>
        </w:rPr>
        <w:t>款明确规定</w:t>
      </w:r>
      <w:r w:rsidRPr="00F6026B">
        <w:rPr>
          <w:rFonts w:ascii="仿宋" w:eastAsia="仿宋" w:hAnsi="仿宋" w:hint="eastAsia"/>
          <w:color w:val="000000"/>
          <w:sz w:val="32"/>
          <w:szCs w:val="32"/>
        </w:rPr>
        <w:t xml:space="preserve"> “</w:t>
      </w:r>
      <w:r w:rsidRPr="00F6026B">
        <w:rPr>
          <w:rFonts w:ascii="仿宋" w:eastAsia="仿宋" w:hAnsi="仿宋"/>
          <w:color w:val="000000"/>
          <w:sz w:val="32"/>
          <w:szCs w:val="32"/>
        </w:rPr>
        <w:t>省、自治区、直辖市根据当地实际情况，可以决定将基层管理迫切需要的县级人民政府部门的行政处罚权交由能够有效承接的乡镇人民政府、街道办事处行使</w:t>
      </w:r>
      <w:r w:rsidRPr="00F6026B">
        <w:rPr>
          <w:rFonts w:ascii="仿宋" w:eastAsia="仿宋" w:hAnsi="仿宋" w:hint="eastAsia"/>
          <w:color w:val="000000"/>
          <w:sz w:val="32"/>
          <w:szCs w:val="32"/>
        </w:rPr>
        <w:t>”，</w:t>
      </w:r>
      <w:r w:rsidRPr="00F6026B">
        <w:rPr>
          <w:rFonts w:ascii="仿宋" w:eastAsia="仿宋" w:hAnsi="仿宋"/>
          <w:color w:val="000000"/>
          <w:sz w:val="32"/>
          <w:szCs w:val="32"/>
        </w:rPr>
        <w:t>本条设定了基层行政机关行使有关县级部门行政处罚权的法律路径。</w:t>
      </w:r>
      <w:r w:rsidRPr="00F6026B">
        <w:rPr>
          <w:rFonts w:ascii="仿宋" w:eastAsia="仿宋" w:hAnsi="仿宋" w:hint="eastAsia"/>
          <w:color w:val="000000"/>
          <w:sz w:val="32"/>
          <w:szCs w:val="32"/>
        </w:rPr>
        <w:t>然而</w:t>
      </w:r>
      <w:r w:rsidRPr="00F6026B">
        <w:rPr>
          <w:rFonts w:ascii="仿宋" w:eastAsia="仿宋" w:hAnsi="仿宋"/>
          <w:color w:val="000000"/>
          <w:sz w:val="32"/>
          <w:szCs w:val="32"/>
        </w:rPr>
        <w:t>，行政处罚权重心下移，目前仍然存在制度供给不足的困境</w:t>
      </w:r>
      <w:r w:rsidRPr="00F6026B">
        <w:rPr>
          <w:rFonts w:ascii="仿宋" w:eastAsia="仿宋" w:hAnsi="仿宋" w:hint="eastAsia"/>
          <w:color w:val="000000"/>
          <w:sz w:val="32"/>
          <w:szCs w:val="32"/>
        </w:rPr>
        <w:t>。</w:t>
      </w:r>
      <w:r w:rsidRPr="00F6026B">
        <w:rPr>
          <w:rFonts w:ascii="仿宋" w:eastAsia="仿宋" w:hAnsi="仿宋"/>
          <w:color w:val="000000"/>
          <w:sz w:val="32"/>
          <w:szCs w:val="32"/>
        </w:rPr>
        <w:t>因此，加强行政处罚权下放机制研究有其重要意义，有利于完善基层行政执法体制，解</w:t>
      </w:r>
      <w:r w:rsidRPr="00F6026B">
        <w:rPr>
          <w:rFonts w:ascii="仿宋" w:eastAsia="仿宋" w:hAnsi="仿宋"/>
          <w:color w:val="000000"/>
          <w:sz w:val="32"/>
          <w:szCs w:val="32"/>
        </w:rPr>
        <w:lastRenderedPageBreak/>
        <w:t>决多头执法、执法扰民、执法力量分散等问题，推动行政处罚权下放制度</w:t>
      </w:r>
      <w:r w:rsidRPr="00F6026B">
        <w:rPr>
          <w:rFonts w:ascii="仿宋" w:eastAsia="仿宋" w:hAnsi="仿宋" w:hint="eastAsia"/>
          <w:color w:val="000000"/>
          <w:sz w:val="32"/>
          <w:szCs w:val="32"/>
        </w:rPr>
        <w:t>进</w:t>
      </w:r>
      <w:r w:rsidRPr="00F6026B">
        <w:rPr>
          <w:rFonts w:ascii="仿宋" w:eastAsia="仿宋" w:hAnsi="仿宋"/>
          <w:color w:val="000000"/>
          <w:sz w:val="32"/>
          <w:szCs w:val="32"/>
        </w:rPr>
        <w:t>一步规范，实现行政处罚权重心下移良性运作。</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color w:val="000000"/>
          <w:sz w:val="32"/>
          <w:szCs w:val="32"/>
        </w:rPr>
        <w:t>研究范围及要求：</w:t>
      </w:r>
      <w:r w:rsidRPr="00F6026B">
        <w:rPr>
          <w:rFonts w:ascii="仿宋" w:eastAsia="仿宋" w:hAnsi="仿宋"/>
          <w:color w:val="000000"/>
          <w:sz w:val="32"/>
          <w:szCs w:val="32"/>
        </w:rPr>
        <w:t>着重研究行政处罚权下放的规范化路径，在新修订的《行政处罚法》背景下，构建和完善行政处罚权下放制度，强化基层执法能力。</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仿宋" w:eastAsia="仿宋" w:hAnsi="仿宋" w:hint="eastAsia"/>
          <w:color w:val="000000"/>
          <w:sz w:val="32"/>
          <w:szCs w:val="32"/>
        </w:rPr>
        <w:t>11.县域综合行政执法权下放改革研究（编号：2021jssf011）</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color w:val="000000"/>
          <w:sz w:val="32"/>
          <w:szCs w:val="32"/>
        </w:rPr>
        <w:t>破解多头执法、多层执法、执法扰民和基层执法力量不足等问题，是中央要求开展综合行政执法改革的初心。2018年</w:t>
      </w:r>
      <w:r w:rsidRPr="00F6026B">
        <w:rPr>
          <w:rFonts w:ascii="仿宋" w:eastAsia="仿宋" w:hAnsi="仿宋" w:hint="eastAsia"/>
          <w:color w:val="000000"/>
          <w:sz w:val="32"/>
          <w:szCs w:val="32"/>
        </w:rPr>
        <w:t>，江苏省委办公厅、省政府办公厅印发</w:t>
      </w:r>
      <w:r w:rsidRPr="00F6026B">
        <w:rPr>
          <w:rFonts w:ascii="仿宋" w:eastAsia="仿宋" w:hAnsi="仿宋"/>
          <w:color w:val="000000"/>
          <w:sz w:val="32"/>
          <w:szCs w:val="32"/>
        </w:rPr>
        <w:t>《关于深化综合行政执法体制改革的指导意见》，选择13个县（市、区）进行县域改革试点</w:t>
      </w:r>
      <w:r w:rsidRPr="00F6026B">
        <w:rPr>
          <w:rFonts w:ascii="仿宋" w:eastAsia="仿宋" w:hAnsi="仿宋" w:hint="eastAsia"/>
          <w:color w:val="000000"/>
          <w:sz w:val="32"/>
          <w:szCs w:val="32"/>
        </w:rPr>
        <w:t>，</w:t>
      </w:r>
      <w:r w:rsidRPr="00F6026B">
        <w:rPr>
          <w:rFonts w:ascii="仿宋" w:eastAsia="仿宋" w:hAnsi="仿宋"/>
          <w:color w:val="000000"/>
          <w:sz w:val="32"/>
          <w:szCs w:val="32"/>
        </w:rPr>
        <w:t>梳理出台县级、乡镇（街道）执法权责清单、网格监管责任清单。2020年，江苏基层综合行政执法改革全面铺开</w:t>
      </w:r>
      <w:r w:rsidRPr="00F6026B">
        <w:rPr>
          <w:rFonts w:ascii="仿宋" w:eastAsia="仿宋" w:hAnsi="仿宋" w:hint="eastAsia"/>
          <w:color w:val="000000"/>
          <w:sz w:val="32"/>
          <w:szCs w:val="32"/>
        </w:rPr>
        <w:t>，</w:t>
      </w:r>
      <w:r w:rsidRPr="00F6026B">
        <w:rPr>
          <w:rFonts w:ascii="仿宋" w:eastAsia="仿宋" w:hAnsi="仿宋"/>
          <w:color w:val="000000"/>
          <w:sz w:val="32"/>
          <w:szCs w:val="32"/>
        </w:rPr>
        <w:t>但权力下放不能“一放了之”，权力下放中出现</w:t>
      </w:r>
      <w:r w:rsidRPr="00F6026B">
        <w:rPr>
          <w:rFonts w:ascii="仿宋" w:eastAsia="仿宋" w:hAnsi="仿宋" w:hint="eastAsia"/>
          <w:color w:val="000000"/>
          <w:sz w:val="32"/>
          <w:szCs w:val="32"/>
        </w:rPr>
        <w:t>的</w:t>
      </w:r>
      <w:r w:rsidRPr="00F6026B">
        <w:rPr>
          <w:rFonts w:ascii="仿宋" w:eastAsia="仿宋" w:hAnsi="仿宋"/>
          <w:color w:val="000000"/>
          <w:sz w:val="32"/>
          <w:szCs w:val="32"/>
        </w:rPr>
        <w:t>镇</w:t>
      </w:r>
      <w:proofErr w:type="gramStart"/>
      <w:r w:rsidRPr="00F6026B">
        <w:rPr>
          <w:rFonts w:ascii="仿宋" w:eastAsia="仿宋" w:hAnsi="仿宋"/>
          <w:color w:val="000000"/>
          <w:sz w:val="32"/>
          <w:szCs w:val="32"/>
        </w:rPr>
        <w:t>街执法</w:t>
      </w:r>
      <w:proofErr w:type="gramEnd"/>
      <w:r w:rsidRPr="00F6026B">
        <w:rPr>
          <w:rFonts w:ascii="仿宋" w:eastAsia="仿宋" w:hAnsi="仿宋"/>
          <w:color w:val="000000"/>
          <w:sz w:val="32"/>
          <w:szCs w:val="32"/>
        </w:rPr>
        <w:t>人员素质不足、法治</w:t>
      </w:r>
      <w:r w:rsidRPr="00F6026B">
        <w:rPr>
          <w:rFonts w:ascii="仿宋" w:eastAsia="仿宋" w:hAnsi="仿宋" w:hint="eastAsia"/>
          <w:color w:val="000000"/>
          <w:sz w:val="32"/>
          <w:szCs w:val="32"/>
        </w:rPr>
        <w:t>水平</w:t>
      </w:r>
      <w:r w:rsidRPr="00F6026B">
        <w:rPr>
          <w:rFonts w:ascii="仿宋" w:eastAsia="仿宋" w:hAnsi="仿宋"/>
          <w:color w:val="000000"/>
          <w:sz w:val="32"/>
          <w:szCs w:val="32"/>
        </w:rPr>
        <w:t>不高，无法有效承接等问题不容忽视，</w:t>
      </w:r>
      <w:r w:rsidRPr="00F6026B">
        <w:rPr>
          <w:rFonts w:ascii="仿宋" w:eastAsia="仿宋" w:hAnsi="仿宋" w:hint="eastAsia"/>
          <w:color w:val="000000"/>
          <w:sz w:val="32"/>
          <w:szCs w:val="32"/>
        </w:rPr>
        <w:t>需要</w:t>
      </w:r>
      <w:r w:rsidRPr="00F6026B">
        <w:rPr>
          <w:rFonts w:ascii="仿宋" w:eastAsia="仿宋" w:hAnsi="仿宋"/>
          <w:color w:val="000000"/>
          <w:sz w:val="32"/>
          <w:szCs w:val="32"/>
        </w:rPr>
        <w:t>开展相应</w:t>
      </w:r>
      <w:r w:rsidRPr="00F6026B">
        <w:rPr>
          <w:rFonts w:ascii="仿宋" w:eastAsia="仿宋" w:hAnsi="仿宋" w:hint="eastAsia"/>
          <w:color w:val="000000"/>
          <w:sz w:val="32"/>
          <w:szCs w:val="32"/>
        </w:rPr>
        <w:t>研究</w:t>
      </w:r>
      <w:r w:rsidRPr="00F6026B">
        <w:rPr>
          <w:rFonts w:ascii="仿宋" w:eastAsia="仿宋" w:hAnsi="仿宋"/>
          <w:color w:val="000000"/>
          <w:sz w:val="32"/>
          <w:szCs w:val="32"/>
        </w:rPr>
        <w:t>，</w:t>
      </w:r>
      <w:r w:rsidRPr="00F6026B">
        <w:rPr>
          <w:rFonts w:ascii="仿宋" w:eastAsia="仿宋" w:hAnsi="仿宋" w:hint="eastAsia"/>
          <w:color w:val="000000"/>
          <w:sz w:val="32"/>
          <w:szCs w:val="32"/>
        </w:rPr>
        <w:t>以</w:t>
      </w:r>
      <w:r w:rsidRPr="00F6026B">
        <w:rPr>
          <w:rFonts w:ascii="仿宋" w:eastAsia="仿宋" w:hAnsi="仿宋"/>
          <w:color w:val="000000"/>
          <w:sz w:val="32"/>
          <w:szCs w:val="32"/>
        </w:rPr>
        <w:t>规范权力在基层的运行，提升基层治理能力</w:t>
      </w:r>
      <w:r w:rsidRPr="00F6026B">
        <w:rPr>
          <w:rFonts w:ascii="仿宋" w:eastAsia="仿宋" w:hAnsi="仿宋" w:hint="eastAsia"/>
          <w:color w:val="000000"/>
          <w:sz w:val="32"/>
          <w:szCs w:val="32"/>
        </w:rPr>
        <w:t>。</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一是</w:t>
      </w:r>
      <w:r w:rsidRPr="00F6026B">
        <w:rPr>
          <w:rFonts w:ascii="仿宋" w:eastAsia="仿宋" w:hAnsi="仿宋"/>
          <w:color w:val="000000"/>
          <w:sz w:val="32"/>
          <w:szCs w:val="32"/>
        </w:rPr>
        <w:t>综合行政执法权下放中，人员、配套制度、规范化运行和工作责任等问题</w:t>
      </w:r>
      <w:r w:rsidRPr="00F6026B">
        <w:rPr>
          <w:rFonts w:ascii="仿宋" w:eastAsia="仿宋" w:hAnsi="仿宋" w:hint="eastAsia"/>
          <w:color w:val="000000"/>
          <w:sz w:val="32"/>
          <w:szCs w:val="32"/>
        </w:rPr>
        <w:t>；</w:t>
      </w:r>
      <w:r w:rsidRPr="00F6026B">
        <w:rPr>
          <w:rFonts w:ascii="仿宋" w:eastAsia="仿宋" w:hAnsi="仿宋"/>
          <w:color w:val="000000"/>
          <w:sz w:val="32"/>
          <w:szCs w:val="32"/>
        </w:rPr>
        <w:t>二是上下级之间的执法指导和执法监督</w:t>
      </w:r>
      <w:r w:rsidRPr="00F6026B">
        <w:rPr>
          <w:rFonts w:ascii="仿宋" w:eastAsia="仿宋" w:hAnsi="仿宋" w:hint="eastAsia"/>
          <w:color w:val="000000"/>
          <w:sz w:val="32"/>
          <w:szCs w:val="32"/>
        </w:rPr>
        <w:t>问题；</w:t>
      </w:r>
      <w:r w:rsidRPr="00F6026B">
        <w:rPr>
          <w:rFonts w:ascii="仿宋" w:eastAsia="仿宋" w:hAnsi="仿宋"/>
          <w:color w:val="000000"/>
          <w:sz w:val="32"/>
          <w:szCs w:val="32"/>
        </w:rPr>
        <w:t>三是镇街基层执法人员的装备配备和制度建设问题</w:t>
      </w:r>
      <w:r w:rsidRPr="00F6026B">
        <w:rPr>
          <w:rFonts w:ascii="仿宋" w:eastAsia="仿宋" w:hAnsi="仿宋" w:hint="eastAsia"/>
          <w:color w:val="000000"/>
          <w:sz w:val="32"/>
          <w:szCs w:val="32"/>
        </w:rPr>
        <w:t>；</w:t>
      </w:r>
      <w:r w:rsidRPr="00F6026B">
        <w:rPr>
          <w:rFonts w:ascii="仿宋" w:eastAsia="仿宋" w:hAnsi="仿宋"/>
          <w:color w:val="000000"/>
          <w:sz w:val="32"/>
          <w:szCs w:val="32"/>
        </w:rPr>
        <w:t>五是优化权力配置机制和模式，提高执法权下放后的运行效能问题。</w:t>
      </w:r>
    </w:p>
    <w:p w:rsidR="00206325" w:rsidRPr="00CD464C" w:rsidRDefault="00206325" w:rsidP="00206325">
      <w:pPr>
        <w:adjustRightInd w:val="0"/>
        <w:snapToGrid w:val="0"/>
        <w:spacing w:line="560" w:lineRule="exact"/>
        <w:ind w:firstLineChars="200" w:firstLine="616"/>
        <w:rPr>
          <w:rFonts w:ascii="仿宋" w:eastAsia="仿宋" w:hAnsi="仿宋"/>
          <w:color w:val="000000"/>
          <w:spacing w:val="-6"/>
          <w:sz w:val="32"/>
          <w:szCs w:val="32"/>
        </w:rPr>
      </w:pPr>
      <w:r w:rsidRPr="00CD464C">
        <w:rPr>
          <w:rFonts w:ascii="仿宋" w:eastAsia="仿宋" w:hAnsi="仿宋" w:hint="eastAsia"/>
          <w:color w:val="000000"/>
          <w:spacing w:val="-6"/>
          <w:sz w:val="32"/>
          <w:szCs w:val="32"/>
        </w:rPr>
        <w:t>12.行政机关法律顾问服务绩效考核研究（编号：2021jssf012）</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课题的必要性：</w:t>
      </w:r>
      <w:r w:rsidRPr="00F6026B">
        <w:rPr>
          <w:rFonts w:ascii="仿宋" w:eastAsia="仿宋" w:hAnsi="仿宋" w:hint="eastAsia"/>
          <w:color w:val="000000"/>
          <w:sz w:val="32"/>
          <w:szCs w:val="32"/>
        </w:rPr>
        <w:t>政府法律顾问制度是法治政府建设的“助推器”，当前，行政机关已经普遍建立了此项制度。在政府法律顾问制度不断完善的过程中，要推动法律顾问服务绩效考评机制的建</w:t>
      </w:r>
      <w:r w:rsidRPr="00F6026B">
        <w:rPr>
          <w:rFonts w:ascii="仿宋" w:eastAsia="仿宋" w:hAnsi="仿宋" w:hint="eastAsia"/>
          <w:color w:val="000000"/>
          <w:sz w:val="32"/>
          <w:szCs w:val="32"/>
        </w:rPr>
        <w:lastRenderedPageBreak/>
        <w:t>设，从而有效破解</w:t>
      </w:r>
      <w:r w:rsidRPr="00F6026B">
        <w:rPr>
          <w:rFonts w:ascii="仿宋" w:eastAsia="仿宋" w:hAnsi="仿宋"/>
          <w:color w:val="000000"/>
          <w:sz w:val="32"/>
          <w:szCs w:val="32"/>
        </w:rPr>
        <w:t>法律顾问在履职过程中出</w:t>
      </w:r>
      <w:r w:rsidRPr="00F6026B">
        <w:rPr>
          <w:rFonts w:ascii="仿宋" w:eastAsia="仿宋" w:hAnsi="仿宋" w:hint="eastAsia"/>
          <w:color w:val="000000"/>
          <w:sz w:val="32"/>
          <w:szCs w:val="32"/>
        </w:rPr>
        <w:t>现的“聘而不用、顾而不问”的现象，充分发挥政府法律顾问“参谋助手”作用，提高法律顾问的服务质量和工作效能。</w:t>
      </w:r>
    </w:p>
    <w:p w:rsidR="00206325" w:rsidRPr="00F6026B" w:rsidRDefault="00206325" w:rsidP="00206325">
      <w:pPr>
        <w:adjustRightInd w:val="0"/>
        <w:snapToGrid w:val="0"/>
        <w:spacing w:line="560" w:lineRule="exact"/>
        <w:ind w:firstLineChars="200" w:firstLine="640"/>
        <w:rPr>
          <w:rFonts w:ascii="仿宋" w:eastAsia="仿宋" w:hAnsi="仿宋"/>
          <w:color w:val="000000"/>
          <w:sz w:val="32"/>
          <w:szCs w:val="32"/>
        </w:rPr>
      </w:pPr>
      <w:r w:rsidRPr="00F6026B">
        <w:rPr>
          <w:rFonts w:ascii="楷体" w:eastAsia="楷体" w:hAnsi="楷体" w:hint="eastAsia"/>
          <w:color w:val="000000"/>
          <w:sz w:val="32"/>
          <w:szCs w:val="32"/>
        </w:rPr>
        <w:t>研究范围及要求：</w:t>
      </w:r>
      <w:r w:rsidRPr="00F6026B">
        <w:rPr>
          <w:rFonts w:ascii="仿宋" w:eastAsia="仿宋" w:hAnsi="仿宋" w:hint="eastAsia"/>
          <w:color w:val="000000"/>
          <w:sz w:val="32"/>
          <w:szCs w:val="32"/>
        </w:rPr>
        <w:t>分析政府法律顾问服务绩效考核的正当性和必要性，对构建行政机关法律顾问服务绩效考核的量化提出意见建议。</w:t>
      </w:r>
    </w:p>
    <w:p w:rsidR="00206325" w:rsidRPr="00F6026B" w:rsidRDefault="00206325" w:rsidP="00206325">
      <w:pPr>
        <w:adjustRightInd w:val="0"/>
        <w:snapToGrid w:val="0"/>
        <w:spacing w:line="560" w:lineRule="exact"/>
        <w:ind w:firstLineChars="200" w:firstLine="640"/>
        <w:jc w:val="right"/>
        <w:rPr>
          <w:rFonts w:ascii="仿宋" w:eastAsia="仿宋" w:hAnsi="仿宋"/>
          <w:color w:val="000000"/>
          <w:sz w:val="32"/>
          <w:szCs w:val="32"/>
        </w:rPr>
      </w:pPr>
    </w:p>
    <w:p w:rsidR="00206325" w:rsidRPr="00F6026B" w:rsidRDefault="00206325" w:rsidP="00206325">
      <w:pPr>
        <w:adjustRightInd w:val="0"/>
        <w:snapToGrid w:val="0"/>
        <w:spacing w:line="560" w:lineRule="exact"/>
        <w:rPr>
          <w:rFonts w:ascii="仿宋" w:eastAsia="仿宋" w:hAnsi="仿宋" w:hint="eastAsia"/>
          <w:szCs w:val="11"/>
        </w:rPr>
      </w:pPr>
    </w:p>
    <w:p w:rsidR="00707EDE" w:rsidRPr="00206325" w:rsidRDefault="00707EDE"/>
    <w:sectPr w:rsidR="00707EDE" w:rsidRPr="00206325" w:rsidSect="00237A5C">
      <w:footerReference w:type="default" r:id="rId4"/>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C" w:rsidRPr="00FD16CB" w:rsidRDefault="00206325">
    <w:pPr>
      <w:pStyle w:val="a3"/>
      <w:jc w:val="center"/>
      <w:rPr>
        <w:rFonts w:ascii="宋体" w:hAnsi="宋体"/>
      </w:rPr>
    </w:pPr>
    <w:r w:rsidRPr="00757F35">
      <w:fldChar w:fldCharType="begin"/>
    </w:r>
    <w:r w:rsidRPr="00757F35">
      <w:instrText>PAGE   \* MERGEFORMAT</w:instrText>
    </w:r>
    <w:r w:rsidRPr="00757F35">
      <w:fldChar w:fldCharType="separate"/>
    </w:r>
    <w:r w:rsidRPr="00206325">
      <w:rPr>
        <w:noProof/>
        <w:lang w:val="zh-CN"/>
      </w:rPr>
      <w:t>1</w:t>
    </w:r>
    <w:r w:rsidRPr="00757F35">
      <w:fldChar w:fldCharType="end"/>
    </w:r>
  </w:p>
  <w:p w:rsidR="00237A5C" w:rsidRPr="00FD16CB" w:rsidRDefault="00206325">
    <w:pPr>
      <w:pStyle w:val="a3"/>
      <w:rPr>
        <w:rFonts w:ascii="宋体" w:hAnsi="宋体"/>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6325"/>
    <w:rsid w:val="000C0396"/>
    <w:rsid w:val="001A64DE"/>
    <w:rsid w:val="00206325"/>
    <w:rsid w:val="00707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06325"/>
    <w:pPr>
      <w:tabs>
        <w:tab w:val="center" w:pos="4153"/>
        <w:tab w:val="right" w:pos="8306"/>
      </w:tabs>
      <w:snapToGrid w:val="0"/>
      <w:jc w:val="left"/>
    </w:pPr>
    <w:rPr>
      <w:sz w:val="18"/>
      <w:szCs w:val="18"/>
    </w:rPr>
  </w:style>
  <w:style w:type="character" w:customStyle="1" w:styleId="Char">
    <w:name w:val="页脚 Char"/>
    <w:basedOn w:val="a0"/>
    <w:link w:val="a3"/>
    <w:uiPriority w:val="99"/>
    <w:rsid w:val="00206325"/>
    <w:rPr>
      <w:rFonts w:ascii="Times New Roman" w:eastAsia="宋体" w:hAnsi="Times New Roman" w:cs="Times New Roman"/>
      <w:sz w:val="18"/>
      <w:szCs w:val="18"/>
    </w:rPr>
  </w:style>
  <w:style w:type="paragraph" w:styleId="a4">
    <w:name w:val="Normal (Web)"/>
    <w:basedOn w:val="a"/>
    <w:uiPriority w:val="99"/>
    <w:unhideWhenUsed/>
    <w:rsid w:val="00206325"/>
    <w:pPr>
      <w:widowControl/>
      <w:spacing w:before="100" w:beforeAutospacing="1" w:after="100" w:afterAutospacing="1"/>
      <w:jc w:val="left"/>
    </w:pPr>
    <w:rPr>
      <w:rFonts w:ascii="宋体" w:hAnsi="宋体" w:cs="宋体"/>
      <w:kern w:val="0"/>
      <w:sz w:val="24"/>
    </w:rPr>
  </w:style>
  <w:style w:type="character" w:customStyle="1" w:styleId="bjh-p">
    <w:name w:val="bjh-p"/>
    <w:basedOn w:val="a0"/>
    <w:rsid w:val="002063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662</Words>
  <Characters>3776</Characters>
  <Application>Microsoft Office Word</Application>
  <DocSecurity>0</DocSecurity>
  <Lines>31</Lines>
  <Paragraphs>8</Paragraphs>
  <ScaleCrop>false</ScaleCrop>
  <Company>Lenovo</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2021-06-07T02:12:00Z</dcterms:created>
  <dcterms:modified xsi:type="dcterms:W3CDTF">2021-06-07T02:12:00Z</dcterms:modified>
</cp:coreProperties>
</file>